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569D" w14:textId="02D84E1C" w:rsidR="00CD0B28" w:rsidRDefault="001F4219" w:rsidP="001F4219">
      <w:pPr>
        <w:pStyle w:val="Heading1"/>
        <w:rPr>
          <w:rFonts w:eastAsia="Times New Roman"/>
          <w:lang w:val="en-AU" w:eastAsia="en-GB"/>
        </w:rPr>
      </w:pPr>
      <w:r>
        <w:rPr>
          <w:rFonts w:eastAsia="Times New Roman"/>
          <w:lang w:val="en-AU" w:eastAsia="en-GB"/>
        </w:rPr>
        <w:t>Director Skills Matrix Questionnaire</w:t>
      </w:r>
      <w:r>
        <w:rPr>
          <w:rFonts w:eastAsia="Times New Roman"/>
          <w:lang w:val="en-AU" w:eastAsia="en-GB"/>
        </w:rPr>
        <w:tab/>
      </w:r>
    </w:p>
    <w:p w14:paraId="3F39405E" w14:textId="126738D6" w:rsidR="001F4219" w:rsidRDefault="001F4219" w:rsidP="001F4219">
      <w:pPr>
        <w:rPr>
          <w:lang w:val="en-AU" w:eastAsia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6"/>
        <w:gridCol w:w="2849"/>
        <w:gridCol w:w="1246"/>
        <w:gridCol w:w="4508"/>
      </w:tblGrid>
      <w:tr w:rsidR="001F4219" w:rsidRPr="00AB721D" w14:paraId="03AAC6BD" w14:textId="77777777" w:rsidTr="002D469A">
        <w:tc>
          <w:tcPr>
            <w:tcW w:w="1668" w:type="dxa"/>
          </w:tcPr>
          <w:p w14:paraId="438ABD44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Skill Area</w:t>
            </w:r>
          </w:p>
        </w:tc>
        <w:tc>
          <w:tcPr>
            <w:tcW w:w="2268" w:type="dxa"/>
          </w:tcPr>
          <w:p w14:paraId="3C8BAD19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</w:tcPr>
          <w:p w14:paraId="557C784A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 xml:space="preserve">Director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Skill</w:t>
            </w:r>
          </w:p>
          <w:p w14:paraId="231F916A" w14:textId="08620E60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</w:tc>
        <w:tc>
          <w:tcPr>
            <w:tcW w:w="3588" w:type="dxa"/>
          </w:tcPr>
          <w:p w14:paraId="0D1A63E1" w14:textId="77777777" w:rsidR="001F4219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Comments</w:t>
            </w:r>
          </w:p>
          <w:p w14:paraId="48767672" w14:textId="26F4620B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</w:tc>
      </w:tr>
      <w:tr w:rsidR="001F4219" w:rsidRPr="00AB721D" w14:paraId="19A4F953" w14:textId="77777777" w:rsidTr="002D469A">
        <w:tc>
          <w:tcPr>
            <w:tcW w:w="1668" w:type="dxa"/>
          </w:tcPr>
          <w:p w14:paraId="4996F389" w14:textId="77777777" w:rsidR="001F4219" w:rsidRPr="00AB721D" w:rsidRDefault="001F4219" w:rsidP="001F4219">
            <w:r w:rsidRPr="00AB721D">
              <w:t>Strategy</w:t>
            </w:r>
          </w:p>
        </w:tc>
        <w:tc>
          <w:tcPr>
            <w:tcW w:w="2268" w:type="dxa"/>
          </w:tcPr>
          <w:p w14:paraId="3F09B56C" w14:textId="56EE64D8" w:rsidR="001F4219" w:rsidRPr="0057035E" w:rsidRDefault="0057035E" w:rsidP="001F4219">
            <w:pPr>
              <w:rPr>
                <w:sz w:val="20"/>
                <w:szCs w:val="20"/>
              </w:rPr>
            </w:pPr>
            <w:r w:rsidRPr="0057035E">
              <w:rPr>
                <w:sz w:val="20"/>
                <w:szCs w:val="20"/>
              </w:rPr>
              <w:t>Vision for growth and success (as per definition within the Constitution)</w:t>
            </w:r>
          </w:p>
        </w:tc>
        <w:tc>
          <w:tcPr>
            <w:tcW w:w="992" w:type="dxa"/>
          </w:tcPr>
          <w:p w14:paraId="7281C43A" w14:textId="4F1DA977" w:rsidR="001F4219" w:rsidRPr="0057035E" w:rsidRDefault="0057035E" w:rsidP="001F4219">
            <w:pPr>
              <w:rPr>
                <w:sz w:val="20"/>
                <w:szCs w:val="20"/>
              </w:rPr>
            </w:pPr>
            <w:r w:rsidRPr="0057035E"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094C654A" w14:textId="302DC824" w:rsid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Wrote BQ Strategic Plan (2021-24). Assembled a working party and wrote doc from scratch.</w:t>
            </w:r>
          </w:p>
          <w:p w14:paraId="6763CF3D" w14:textId="5F3D54DF" w:rsid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and enacted revised HR model for BQ based on identified needs</w:t>
            </w:r>
            <w:r w:rsidR="001A30CC">
              <w:rPr>
                <w:sz w:val="20"/>
                <w:szCs w:val="20"/>
              </w:rPr>
              <w:t xml:space="preserve"> (Gantt Chart).</w:t>
            </w:r>
          </w:p>
          <w:p w14:paraId="0268D9FC" w14:textId="62F5E372" w:rsid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Contributor to BA Strategic Plan.</w:t>
            </w:r>
          </w:p>
          <w:p w14:paraId="7751D6A9" w14:textId="7CD5C685" w:rsidR="001F4219" w:rsidRP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Professionally engaged with Strategic and Action plans in Education Queensland </w:t>
            </w:r>
          </w:p>
        </w:tc>
      </w:tr>
      <w:tr w:rsidR="001F4219" w:rsidRPr="00AB721D" w14:paraId="5DDE211F" w14:textId="77777777" w:rsidTr="002D469A">
        <w:tc>
          <w:tcPr>
            <w:tcW w:w="1668" w:type="dxa"/>
          </w:tcPr>
          <w:p w14:paraId="68FD963A" w14:textId="77777777" w:rsidR="001F4219" w:rsidRPr="00AB721D" w:rsidRDefault="001F4219" w:rsidP="001F4219">
            <w:r w:rsidRPr="00AB721D">
              <w:t xml:space="preserve">Finance </w:t>
            </w:r>
          </w:p>
          <w:p w14:paraId="63792E4C" w14:textId="77777777" w:rsidR="001F4219" w:rsidRPr="00AB721D" w:rsidRDefault="001F4219" w:rsidP="001F4219"/>
        </w:tc>
        <w:tc>
          <w:tcPr>
            <w:tcW w:w="2268" w:type="dxa"/>
          </w:tcPr>
          <w:p w14:paraId="3AF203C9" w14:textId="4C5FFDED" w:rsidR="001F4219" w:rsidRP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Budgeting, managing and planning financial concerns</w:t>
            </w:r>
          </w:p>
        </w:tc>
        <w:tc>
          <w:tcPr>
            <w:tcW w:w="992" w:type="dxa"/>
          </w:tcPr>
          <w:p w14:paraId="7187F841" w14:textId="59D52CF4" w:rsidR="001F4219" w:rsidRP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084BC556" w14:textId="1E20656C" w:rsidR="001F4219" w:rsidRP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Inaugurator and member, BQ’s Finance &amp; Risk Advisory Panel. Negotiated </w:t>
            </w:r>
            <w:r w:rsidR="00140042">
              <w:rPr>
                <w:sz w:val="20"/>
                <w:szCs w:val="20"/>
              </w:rPr>
              <w:t xml:space="preserve">and implemented </w:t>
            </w:r>
            <w:r>
              <w:rPr>
                <w:sz w:val="20"/>
                <w:szCs w:val="20"/>
              </w:rPr>
              <w:t xml:space="preserve">new </w:t>
            </w:r>
            <w:r w:rsidR="00140042">
              <w:rPr>
                <w:sz w:val="20"/>
                <w:szCs w:val="20"/>
              </w:rPr>
              <w:t xml:space="preserve">BQ </w:t>
            </w:r>
            <w:r>
              <w:rPr>
                <w:sz w:val="20"/>
                <w:szCs w:val="20"/>
              </w:rPr>
              <w:t>HR model based on 2023 financial projections</w:t>
            </w:r>
          </w:p>
        </w:tc>
      </w:tr>
      <w:tr w:rsidR="001F4219" w:rsidRPr="00AB721D" w14:paraId="4A433B91" w14:textId="77777777" w:rsidTr="002D469A">
        <w:tc>
          <w:tcPr>
            <w:tcW w:w="1668" w:type="dxa"/>
          </w:tcPr>
          <w:p w14:paraId="2DA99AE6" w14:textId="77777777" w:rsidR="001F4219" w:rsidRPr="00AB721D" w:rsidRDefault="001F4219" w:rsidP="001F4219">
            <w:r w:rsidRPr="00AB721D">
              <w:t xml:space="preserve">Risk Management </w:t>
            </w:r>
          </w:p>
          <w:p w14:paraId="5EA82DF6" w14:textId="77777777" w:rsidR="001F4219" w:rsidRPr="00AB721D" w:rsidRDefault="001F4219" w:rsidP="001F4219"/>
        </w:tc>
        <w:tc>
          <w:tcPr>
            <w:tcW w:w="2268" w:type="dxa"/>
          </w:tcPr>
          <w:p w14:paraId="74F83059" w14:textId="4364F12D" w:rsidR="001F4219" w:rsidRP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mitigate risks to the organisation</w:t>
            </w:r>
          </w:p>
        </w:tc>
        <w:tc>
          <w:tcPr>
            <w:tcW w:w="992" w:type="dxa"/>
          </w:tcPr>
          <w:p w14:paraId="7063BB71" w14:textId="289B8B83" w:rsidR="001F4219" w:rsidRP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3479E9A2" w14:textId="77777777" w:rsidR="001F4219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holder of many items on our risk register.</w:t>
            </w:r>
          </w:p>
          <w:p w14:paraId="69566B37" w14:textId="77777777" w:rsid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reviewer of Register.</w:t>
            </w:r>
          </w:p>
          <w:p w14:paraId="3D1ADAA8" w14:textId="3B4D3ACB" w:rsidR="0057035E" w:rsidRP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familiar with CARA, EQ’s risk management process (very similar) </w:t>
            </w:r>
          </w:p>
        </w:tc>
      </w:tr>
      <w:tr w:rsidR="001F4219" w:rsidRPr="00AB721D" w14:paraId="704EC815" w14:textId="77777777" w:rsidTr="002D469A">
        <w:tc>
          <w:tcPr>
            <w:tcW w:w="1668" w:type="dxa"/>
          </w:tcPr>
          <w:p w14:paraId="10511008" w14:textId="77777777" w:rsidR="001F4219" w:rsidRPr="00AB721D" w:rsidRDefault="001F4219" w:rsidP="001F4219">
            <w:r w:rsidRPr="00AB721D">
              <w:t>Legal</w:t>
            </w:r>
          </w:p>
        </w:tc>
        <w:tc>
          <w:tcPr>
            <w:tcW w:w="2268" w:type="dxa"/>
          </w:tcPr>
          <w:p w14:paraId="10E0BB08" w14:textId="67F67912" w:rsidR="001F4219" w:rsidRP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the </w:t>
            </w:r>
            <w:r w:rsidR="00246D47">
              <w:rPr>
                <w:sz w:val="20"/>
                <w:szCs w:val="20"/>
              </w:rPr>
              <w:t>legal responsibilities of a NFP in Qld</w:t>
            </w:r>
          </w:p>
        </w:tc>
        <w:tc>
          <w:tcPr>
            <w:tcW w:w="992" w:type="dxa"/>
          </w:tcPr>
          <w:p w14:paraId="1873D742" w14:textId="0596F5B5" w:rsidR="001F4219" w:rsidRPr="0057035E" w:rsidRDefault="00246D47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04C48B90" w14:textId="77777777" w:rsidR="001F4219" w:rsidRDefault="00246D47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Familiar with Incorporated Associations Act, and have completed training in Sports Integrity</w:t>
            </w:r>
            <w:r w:rsidR="00140042">
              <w:rPr>
                <w:sz w:val="20"/>
                <w:szCs w:val="20"/>
              </w:rPr>
              <w:t>.</w:t>
            </w:r>
          </w:p>
          <w:p w14:paraId="2F15BF0B" w14:textId="57211EFD" w:rsidR="00140042" w:rsidRPr="0057035E" w:rsidRDefault="00140042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Headed off 2 significant legal challenges within first 2 months as commissioner.</w:t>
            </w:r>
          </w:p>
        </w:tc>
      </w:tr>
      <w:tr w:rsidR="001F4219" w:rsidRPr="00AB721D" w14:paraId="7FB3EF5E" w14:textId="77777777" w:rsidTr="002D469A">
        <w:tc>
          <w:tcPr>
            <w:tcW w:w="1668" w:type="dxa"/>
          </w:tcPr>
          <w:p w14:paraId="64B4FA01" w14:textId="14130738" w:rsidR="001F4219" w:rsidRPr="00AB721D" w:rsidRDefault="001F4219" w:rsidP="001F4219">
            <w:r w:rsidRPr="00AB721D">
              <w:t xml:space="preserve">Executive management </w:t>
            </w:r>
          </w:p>
        </w:tc>
        <w:tc>
          <w:tcPr>
            <w:tcW w:w="2268" w:type="dxa"/>
          </w:tcPr>
          <w:p w14:paraId="0DE7E144" w14:textId="3B841E8D" w:rsidR="001F4219" w:rsidRPr="0057035E" w:rsidRDefault="00246D47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Oversight of CEO and office processes.</w:t>
            </w:r>
          </w:p>
        </w:tc>
        <w:tc>
          <w:tcPr>
            <w:tcW w:w="992" w:type="dxa"/>
          </w:tcPr>
          <w:p w14:paraId="13B9AC92" w14:textId="2B1DF1DF" w:rsidR="001F4219" w:rsidRPr="0057035E" w:rsidRDefault="00246D47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7C2D11BA" w14:textId="77777777" w:rsidR="001F4219" w:rsidRDefault="00246D47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AICD Corporate Governance course.</w:t>
            </w:r>
          </w:p>
          <w:p w14:paraId="6E6446B4" w14:textId="77777777" w:rsidR="00246D47" w:rsidRDefault="00246D47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 board processes. </w:t>
            </w:r>
          </w:p>
          <w:p w14:paraId="551E1FB9" w14:textId="062B7984" w:rsidR="00246D47" w:rsidRPr="0057035E" w:rsidRDefault="00246D47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manager of CEO.</w:t>
            </w:r>
          </w:p>
        </w:tc>
      </w:tr>
      <w:tr w:rsidR="001F4219" w:rsidRPr="00AB721D" w14:paraId="07EE63A1" w14:textId="77777777" w:rsidTr="002D469A">
        <w:tc>
          <w:tcPr>
            <w:tcW w:w="1668" w:type="dxa"/>
          </w:tcPr>
          <w:p w14:paraId="34F2F052" w14:textId="77777777" w:rsidR="001F4219" w:rsidRPr="00AB721D" w:rsidRDefault="001F4219" w:rsidP="001F4219">
            <w:r w:rsidRPr="00AB721D">
              <w:t xml:space="preserve">Media/Communications </w:t>
            </w:r>
          </w:p>
          <w:p w14:paraId="66FA4756" w14:textId="77777777" w:rsidR="001F4219" w:rsidRPr="00AB721D" w:rsidRDefault="001F4219" w:rsidP="001F4219"/>
        </w:tc>
        <w:tc>
          <w:tcPr>
            <w:tcW w:w="2268" w:type="dxa"/>
          </w:tcPr>
          <w:p w14:paraId="2A8FAE5F" w14:textId="699E9B94" w:rsidR="001F4219" w:rsidRPr="0057035E" w:rsidRDefault="00246D47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</w:t>
            </w:r>
            <w:r w:rsidR="001A30CC">
              <w:rPr>
                <w:sz w:val="20"/>
                <w:szCs w:val="20"/>
              </w:rPr>
              <w:t>and ability to optimise mass and social media for organisational messaging</w:t>
            </w:r>
          </w:p>
        </w:tc>
        <w:tc>
          <w:tcPr>
            <w:tcW w:w="992" w:type="dxa"/>
          </w:tcPr>
          <w:p w14:paraId="65213D37" w14:textId="2C477CCE" w:rsidR="001F4219" w:rsidRPr="0057035E" w:rsidRDefault="00246D47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So-so</w:t>
            </w:r>
          </w:p>
        </w:tc>
        <w:tc>
          <w:tcPr>
            <w:tcW w:w="3588" w:type="dxa"/>
          </w:tcPr>
          <w:p w14:paraId="4736447E" w14:textId="0C44FFF1" w:rsidR="001F4219" w:rsidRPr="0057035E" w:rsidRDefault="00246D47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communicator (Major in English Literature), teacher of secondary English for 30 years – but limited social media </w:t>
            </w:r>
            <w:r w:rsidR="00140042">
              <w:rPr>
                <w:sz w:val="20"/>
                <w:szCs w:val="20"/>
              </w:rPr>
              <w:t>presence</w:t>
            </w:r>
          </w:p>
        </w:tc>
      </w:tr>
      <w:tr w:rsidR="001F4219" w:rsidRPr="00AB721D" w14:paraId="48DCC452" w14:textId="77777777" w:rsidTr="002D469A">
        <w:tc>
          <w:tcPr>
            <w:tcW w:w="1668" w:type="dxa"/>
          </w:tcPr>
          <w:p w14:paraId="5F70C066" w14:textId="77777777" w:rsidR="001F4219" w:rsidRPr="00AB721D" w:rsidRDefault="001F4219" w:rsidP="001F4219">
            <w:r w:rsidRPr="00AB721D">
              <w:t>Participation/ Grassroots Sports</w:t>
            </w:r>
          </w:p>
        </w:tc>
        <w:tc>
          <w:tcPr>
            <w:tcW w:w="2268" w:type="dxa"/>
          </w:tcPr>
          <w:p w14:paraId="0391E9A4" w14:textId="3E24B26B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the challenges of recruitment and retention at the club level</w:t>
            </w:r>
          </w:p>
        </w:tc>
        <w:tc>
          <w:tcPr>
            <w:tcW w:w="992" w:type="dxa"/>
          </w:tcPr>
          <w:p w14:paraId="0FBCF13A" w14:textId="22DB0406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5E7EFDD5" w14:textId="67ACCF09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BQ development officer/manager 1991-1997. Developed and/or sustained new leagues. Visited over 400 schools. Coached T-ball to 1</w:t>
            </w:r>
            <w:r w:rsidRPr="001A30C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Division</w:t>
            </w:r>
          </w:p>
        </w:tc>
      </w:tr>
      <w:tr w:rsidR="001F4219" w:rsidRPr="00AB721D" w14:paraId="7181783F" w14:textId="77777777" w:rsidTr="002D469A">
        <w:tc>
          <w:tcPr>
            <w:tcW w:w="1668" w:type="dxa"/>
          </w:tcPr>
          <w:p w14:paraId="586465DD" w14:textId="77777777" w:rsidR="001F4219" w:rsidRPr="00AB721D" w:rsidRDefault="001F4219" w:rsidP="001F4219">
            <w:r w:rsidRPr="00AB721D">
              <w:t xml:space="preserve">High Performance </w:t>
            </w:r>
          </w:p>
        </w:tc>
        <w:tc>
          <w:tcPr>
            <w:tcW w:w="2268" w:type="dxa"/>
          </w:tcPr>
          <w:p w14:paraId="1EA4B497" w14:textId="2C83FC8E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the Pathways Program</w:t>
            </w:r>
          </w:p>
        </w:tc>
        <w:tc>
          <w:tcPr>
            <w:tcW w:w="992" w:type="dxa"/>
          </w:tcPr>
          <w:p w14:paraId="2FB0CE83" w14:textId="501C550E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2CEF4046" w14:textId="64A54B6D" w:rsidR="0057035E" w:rsidRP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team coach for more than 20 years. National team coach 2002, 2009, 2014, 2016, 2018.</w:t>
            </w:r>
            <w:r w:rsidR="001A30CC">
              <w:rPr>
                <w:sz w:val="20"/>
                <w:szCs w:val="20"/>
              </w:rPr>
              <w:t xml:space="preserve"> Won SSA National championship (2022), </w:t>
            </w:r>
            <w:r w:rsidR="008F21DF">
              <w:rPr>
                <w:sz w:val="20"/>
                <w:szCs w:val="20"/>
              </w:rPr>
              <w:t xml:space="preserve">Women’s </w:t>
            </w:r>
            <w:r w:rsidR="001A30CC">
              <w:rPr>
                <w:sz w:val="20"/>
                <w:szCs w:val="20"/>
              </w:rPr>
              <w:t>World Cup (2002).</w:t>
            </w:r>
            <w:r w:rsidR="00140042">
              <w:rPr>
                <w:sz w:val="20"/>
                <w:szCs w:val="20"/>
              </w:rPr>
              <w:t xml:space="preserve"> Secondary Phys Ed Teacher since 1989.</w:t>
            </w:r>
          </w:p>
        </w:tc>
      </w:tr>
      <w:tr w:rsidR="001F4219" w:rsidRPr="00AB721D" w14:paraId="5DF18414" w14:textId="77777777" w:rsidTr="002D469A">
        <w:tc>
          <w:tcPr>
            <w:tcW w:w="1668" w:type="dxa"/>
          </w:tcPr>
          <w:p w14:paraId="0EEEF948" w14:textId="77777777" w:rsidR="001F4219" w:rsidRPr="00AB721D" w:rsidRDefault="001F4219" w:rsidP="001F4219">
            <w:r w:rsidRPr="00AB721D">
              <w:t xml:space="preserve">Sport Administration  </w:t>
            </w:r>
          </w:p>
        </w:tc>
        <w:tc>
          <w:tcPr>
            <w:tcW w:w="2268" w:type="dxa"/>
          </w:tcPr>
          <w:p w14:paraId="00DE0452" w14:textId="31AAD5EA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and experience in managing within the sport industry.</w:t>
            </w:r>
          </w:p>
        </w:tc>
        <w:tc>
          <w:tcPr>
            <w:tcW w:w="992" w:type="dxa"/>
          </w:tcPr>
          <w:p w14:paraId="60586400" w14:textId="35D31F51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09F5E73E" w14:textId="212737AB" w:rsidR="001F4219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 as Commissioner.</w:t>
            </w:r>
          </w:p>
          <w:p w14:paraId="788F5257" w14:textId="3EEBD441" w:rsidR="001A30CC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National Advisor to School Sport.</w:t>
            </w:r>
          </w:p>
          <w:p w14:paraId="64312D54" w14:textId="344B7EFF" w:rsid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Post-graduate study (MBA) in Sports Management</w:t>
            </w:r>
            <w:r w:rsidR="008F21DF">
              <w:rPr>
                <w:sz w:val="20"/>
                <w:szCs w:val="20"/>
              </w:rPr>
              <w:t>.</w:t>
            </w:r>
          </w:p>
          <w:p w14:paraId="46F27C2B" w14:textId="77777777" w:rsidR="001A30CC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AICD Corporate Governance Course</w:t>
            </w:r>
            <w:r w:rsidR="00B34BA8">
              <w:rPr>
                <w:sz w:val="20"/>
                <w:szCs w:val="20"/>
              </w:rPr>
              <w:t>.</w:t>
            </w:r>
          </w:p>
          <w:p w14:paraId="3A014644" w14:textId="73CC1A41" w:rsidR="00B34BA8" w:rsidRPr="0057035E" w:rsidRDefault="00B34BA8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at SPBC (2002-</w:t>
            </w:r>
            <w:r w:rsidR="008F21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3) and Mt Gravatt (19</w:t>
            </w:r>
            <w:r w:rsidR="008F21DF">
              <w:rPr>
                <w:sz w:val="20"/>
                <w:szCs w:val="20"/>
              </w:rPr>
              <w:t>89-90</w:t>
            </w:r>
            <w:r>
              <w:rPr>
                <w:sz w:val="20"/>
                <w:szCs w:val="20"/>
              </w:rPr>
              <w:t>)</w:t>
            </w:r>
          </w:p>
        </w:tc>
      </w:tr>
      <w:tr w:rsidR="001F4219" w:rsidRPr="00AB721D" w14:paraId="716CE147" w14:textId="77777777" w:rsidTr="002D469A">
        <w:tc>
          <w:tcPr>
            <w:tcW w:w="1668" w:type="dxa"/>
          </w:tcPr>
          <w:p w14:paraId="1564EA41" w14:textId="77777777" w:rsidR="001F4219" w:rsidRPr="00AB721D" w:rsidRDefault="001F4219" w:rsidP="001F4219">
            <w:r w:rsidRPr="00AB721D">
              <w:t>Corporate Governance</w:t>
            </w:r>
          </w:p>
        </w:tc>
        <w:tc>
          <w:tcPr>
            <w:tcW w:w="2268" w:type="dxa"/>
          </w:tcPr>
          <w:p w14:paraId="5B7B842C" w14:textId="46555037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and adherence to processes of the constitution and governance manual</w:t>
            </w:r>
          </w:p>
        </w:tc>
        <w:tc>
          <w:tcPr>
            <w:tcW w:w="992" w:type="dxa"/>
          </w:tcPr>
          <w:p w14:paraId="2C8A6D8B" w14:textId="54FC6C88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7EB585EE" w14:textId="77777777" w:rsidR="001A30CC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 as Commissioner.</w:t>
            </w:r>
          </w:p>
          <w:p w14:paraId="55993401" w14:textId="7818264C" w:rsidR="001F4219" w:rsidRP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AICD Corporate Governance course</w:t>
            </w:r>
            <w:r w:rsidR="008F21DF">
              <w:rPr>
                <w:sz w:val="20"/>
                <w:szCs w:val="20"/>
              </w:rPr>
              <w:t>.</w:t>
            </w:r>
          </w:p>
        </w:tc>
      </w:tr>
      <w:tr w:rsidR="001F4219" w:rsidRPr="00AB721D" w14:paraId="1017F1E4" w14:textId="77777777" w:rsidTr="002D469A">
        <w:tc>
          <w:tcPr>
            <w:tcW w:w="1668" w:type="dxa"/>
          </w:tcPr>
          <w:p w14:paraId="790B559A" w14:textId="77777777" w:rsidR="001F4219" w:rsidRPr="00AB721D" w:rsidRDefault="001F4219" w:rsidP="001F4219">
            <w:r w:rsidRPr="00AB721D">
              <w:t>Medical</w:t>
            </w:r>
            <w:r>
              <w:t>/Health</w:t>
            </w:r>
          </w:p>
        </w:tc>
        <w:tc>
          <w:tcPr>
            <w:tcW w:w="2268" w:type="dxa"/>
          </w:tcPr>
          <w:p w14:paraId="42DFFC0B" w14:textId="561C3B12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Appreciation of the impact and management of physical issues</w:t>
            </w:r>
          </w:p>
        </w:tc>
        <w:tc>
          <w:tcPr>
            <w:tcW w:w="992" w:type="dxa"/>
          </w:tcPr>
          <w:p w14:paraId="25D4F8A8" w14:textId="6A1FFD1F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76540385" w14:textId="7BE631D3" w:rsidR="001F4219" w:rsidRPr="0057035E" w:rsidRDefault="0057035E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major in Human Kinesiology (three years of anatomy, physiology, chemistry and biomechanics)</w:t>
            </w:r>
            <w:r w:rsidR="001A30CC">
              <w:rPr>
                <w:sz w:val="20"/>
                <w:szCs w:val="20"/>
              </w:rPr>
              <w:t>. Advisor on concussion protocols (SSA)</w:t>
            </w:r>
          </w:p>
        </w:tc>
      </w:tr>
      <w:tr w:rsidR="001F4219" w:rsidRPr="00AB721D" w14:paraId="5CBE5720" w14:textId="77777777" w:rsidTr="002D469A">
        <w:tc>
          <w:tcPr>
            <w:tcW w:w="1668" w:type="dxa"/>
          </w:tcPr>
          <w:p w14:paraId="01A772F3" w14:textId="77777777" w:rsidR="001F4219" w:rsidRPr="00AB721D" w:rsidRDefault="001F4219" w:rsidP="001F4219">
            <w:r w:rsidRPr="00AB721D">
              <w:lastRenderedPageBreak/>
              <w:t>Information Technology</w:t>
            </w:r>
          </w:p>
        </w:tc>
        <w:tc>
          <w:tcPr>
            <w:tcW w:w="2268" w:type="dxa"/>
          </w:tcPr>
          <w:p w14:paraId="0FF193D2" w14:textId="41F61079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and experience with Office Suite to better create, plan and communicate</w:t>
            </w:r>
          </w:p>
        </w:tc>
        <w:tc>
          <w:tcPr>
            <w:tcW w:w="992" w:type="dxa"/>
          </w:tcPr>
          <w:p w14:paraId="41C093F7" w14:textId="564E5859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13F9444F" w14:textId="6515B2F8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Competency with all office programs (as required by my role with EQ)</w:t>
            </w:r>
            <w:r w:rsidR="008F21DF">
              <w:rPr>
                <w:sz w:val="20"/>
                <w:szCs w:val="20"/>
              </w:rPr>
              <w:t>, including SharePoint, OneNote, Teams, Zoom</w:t>
            </w:r>
          </w:p>
        </w:tc>
      </w:tr>
      <w:tr w:rsidR="001F4219" w:rsidRPr="00AB721D" w14:paraId="4BBF9882" w14:textId="77777777" w:rsidTr="002D469A">
        <w:tc>
          <w:tcPr>
            <w:tcW w:w="1668" w:type="dxa"/>
          </w:tcPr>
          <w:p w14:paraId="0D214AF5" w14:textId="77777777" w:rsidR="001F4219" w:rsidRPr="00AB721D" w:rsidRDefault="001F4219" w:rsidP="001F4219">
            <w:r w:rsidRPr="00AB721D">
              <w:t>Commercial Fundraising/Sponsorship</w:t>
            </w:r>
          </w:p>
        </w:tc>
        <w:tc>
          <w:tcPr>
            <w:tcW w:w="2268" w:type="dxa"/>
          </w:tcPr>
          <w:p w14:paraId="514554CC" w14:textId="311BE430" w:rsidR="001F4219" w:rsidRPr="0057035E" w:rsidRDefault="001A30CC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Appreciation of and experience in </w:t>
            </w:r>
            <w:r w:rsidR="00237AE1">
              <w:rPr>
                <w:sz w:val="20"/>
                <w:szCs w:val="20"/>
              </w:rPr>
              <w:t>bringing external income to the organisation</w:t>
            </w:r>
          </w:p>
        </w:tc>
        <w:tc>
          <w:tcPr>
            <w:tcW w:w="992" w:type="dxa"/>
          </w:tcPr>
          <w:p w14:paraId="6BD2EDFF" w14:textId="5C7C5875" w:rsidR="001F4219" w:rsidRPr="0057035E" w:rsidRDefault="00237AE1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</w:p>
        </w:tc>
        <w:tc>
          <w:tcPr>
            <w:tcW w:w="3588" w:type="dxa"/>
          </w:tcPr>
          <w:p w14:paraId="16015251" w14:textId="1E8F1CE4" w:rsidR="001F4219" w:rsidRPr="0057035E" w:rsidRDefault="00237AE1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Negotiated sponsorship deals with club and school sport (dollar and in-kind), generally on the smaller scale (&lt;$10k)</w:t>
            </w:r>
          </w:p>
        </w:tc>
      </w:tr>
      <w:tr w:rsidR="001F4219" w:rsidRPr="00AB721D" w14:paraId="0F324958" w14:textId="77777777" w:rsidTr="002D469A">
        <w:tc>
          <w:tcPr>
            <w:tcW w:w="1668" w:type="dxa"/>
          </w:tcPr>
          <w:p w14:paraId="104A9E14" w14:textId="77777777" w:rsidR="001F4219" w:rsidRPr="00AB721D" w:rsidRDefault="001F4219" w:rsidP="001F4219">
            <w:r w:rsidRPr="00AB721D">
              <w:t>Policy</w:t>
            </w:r>
          </w:p>
        </w:tc>
        <w:tc>
          <w:tcPr>
            <w:tcW w:w="2268" w:type="dxa"/>
          </w:tcPr>
          <w:p w14:paraId="199F197E" w14:textId="3B877147" w:rsidR="001F4219" w:rsidRPr="0057035E" w:rsidRDefault="00237AE1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protocols that must be in place to be operating effectively and ethically</w:t>
            </w:r>
          </w:p>
        </w:tc>
        <w:tc>
          <w:tcPr>
            <w:tcW w:w="992" w:type="dxa"/>
          </w:tcPr>
          <w:p w14:paraId="07A1C168" w14:textId="14CB8826" w:rsidR="001F4219" w:rsidRPr="0057035E" w:rsidRDefault="00237AE1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88" w:type="dxa"/>
          </w:tcPr>
          <w:p w14:paraId="638562F5" w14:textId="29053652" w:rsidR="001F4219" w:rsidRPr="0057035E" w:rsidRDefault="00237AE1" w:rsidP="001F4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Enabled and contributed to a new suite of dozens of policies and procedural documents at the board level.</w:t>
            </w:r>
          </w:p>
        </w:tc>
      </w:tr>
    </w:tbl>
    <w:p w14:paraId="1CFC1654" w14:textId="77777777" w:rsidR="001F4219" w:rsidRPr="001F4219" w:rsidRDefault="001F4219" w:rsidP="001F4219">
      <w:pPr>
        <w:rPr>
          <w:lang w:val="en-AU" w:eastAsia="en-GB"/>
        </w:rPr>
      </w:pPr>
    </w:p>
    <w:sectPr w:rsidR="001F4219" w:rsidRPr="001F4219" w:rsidSect="00CD0B28">
      <w:headerReference w:type="default" r:id="rId9"/>
      <w:footerReference w:type="default" r:id="rId10"/>
      <w:pgSz w:w="11900" w:h="16840"/>
      <w:pgMar w:top="386" w:right="567" w:bottom="816" w:left="567" w:header="386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8ED5" w14:textId="77777777" w:rsidR="005328FD" w:rsidRDefault="005328FD" w:rsidP="00E87682">
      <w:r>
        <w:separator/>
      </w:r>
    </w:p>
  </w:endnote>
  <w:endnote w:type="continuationSeparator" w:id="0">
    <w:p w14:paraId="7C731CAA" w14:textId="77777777" w:rsidR="005328FD" w:rsidRDefault="005328FD" w:rsidP="00E8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E6D" w14:textId="77777777" w:rsidR="00CD0B28" w:rsidRDefault="00CD0B28">
    <w:pPr>
      <w:pStyle w:val="Footer"/>
    </w:pPr>
    <w:r>
      <w:rPr>
        <w:noProof/>
      </w:rPr>
      <w:drawing>
        <wp:inline distT="0" distB="0" distL="0" distR="0" wp14:anchorId="23F25FAD" wp14:editId="244D28CC">
          <wp:extent cx="6800215" cy="665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for B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3F2A" w14:textId="77777777" w:rsidR="005328FD" w:rsidRDefault="005328FD" w:rsidP="00E87682">
      <w:r>
        <w:separator/>
      </w:r>
    </w:p>
  </w:footnote>
  <w:footnote w:type="continuationSeparator" w:id="0">
    <w:p w14:paraId="23EA4A07" w14:textId="77777777" w:rsidR="005328FD" w:rsidRDefault="005328FD" w:rsidP="00E8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2986" w14:textId="77777777" w:rsidR="00E87682" w:rsidRDefault="00E87682">
    <w:pPr>
      <w:pStyle w:val="Header"/>
    </w:pPr>
    <w:r>
      <w:rPr>
        <w:noProof/>
      </w:rPr>
      <w:drawing>
        <wp:inline distT="0" distB="0" distL="0" distR="0" wp14:anchorId="1FCEAFBA" wp14:editId="57383FBF">
          <wp:extent cx="6772759" cy="1342897"/>
          <wp:effectExtent l="0" t="0" r="0" b="381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 Banner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885" cy="135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EDF21" w14:textId="77777777" w:rsidR="00E87682" w:rsidRDefault="00E87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E"/>
    <w:rsid w:val="00054CD2"/>
    <w:rsid w:val="00140042"/>
    <w:rsid w:val="001A30CC"/>
    <w:rsid w:val="001F4219"/>
    <w:rsid w:val="00237AE1"/>
    <w:rsid w:val="00246D47"/>
    <w:rsid w:val="00290084"/>
    <w:rsid w:val="002C2562"/>
    <w:rsid w:val="00487552"/>
    <w:rsid w:val="005328FD"/>
    <w:rsid w:val="0057035E"/>
    <w:rsid w:val="00677FEE"/>
    <w:rsid w:val="00835B86"/>
    <w:rsid w:val="008F21DF"/>
    <w:rsid w:val="00A357F7"/>
    <w:rsid w:val="00AB54DF"/>
    <w:rsid w:val="00B34BA8"/>
    <w:rsid w:val="00C16EE9"/>
    <w:rsid w:val="00CD0B28"/>
    <w:rsid w:val="00CF1B66"/>
    <w:rsid w:val="00E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C210"/>
  <w15:chartTrackingRefBased/>
  <w15:docId w15:val="{C0F498C3-F97D-A74D-B103-4DF63A4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E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FEE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FEE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7F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87682"/>
  </w:style>
  <w:style w:type="paragraph" w:styleId="Footer">
    <w:name w:val="footer"/>
    <w:basedOn w:val="Normal"/>
    <w:link w:val="Foot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87682"/>
  </w:style>
  <w:style w:type="character" w:customStyle="1" w:styleId="Heading3Char">
    <w:name w:val="Heading 3 Char"/>
    <w:basedOn w:val="DefaultParagraphFont"/>
    <w:link w:val="Heading3"/>
    <w:uiPriority w:val="9"/>
    <w:rsid w:val="00677FE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CD0B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table" w:styleId="TableGrid">
    <w:name w:val="Table Grid"/>
    <w:basedOn w:val="TableNormal"/>
    <w:uiPriority w:val="59"/>
    <w:rsid w:val="00677FE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7F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D84B9A3F954E8EF84F47DE9A85B0" ma:contentTypeVersion="4" ma:contentTypeDescription="Create a new document." ma:contentTypeScope="" ma:versionID="825a84d331c065b75d09cb8d8a3edf1a">
  <xsd:schema xmlns:xsd="http://www.w3.org/2001/XMLSchema" xmlns:xs="http://www.w3.org/2001/XMLSchema" xmlns:p="http://schemas.microsoft.com/office/2006/metadata/properties" xmlns:ns2="fd25a563-b686-403a-8c83-ff5f323c5b33" targetNamespace="http://schemas.microsoft.com/office/2006/metadata/properties" ma:root="true" ma:fieldsID="598f5b7b1dfd6a04f8d6bcf2cb95fd82" ns2:_="">
    <xsd:import namespace="fd25a563-b686-403a-8c83-ff5f323c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a563-b686-403a-8c83-ff5f323c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278F6-57F7-4F96-A48B-6FE45B34D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420B8-5415-4479-A46E-87AAC5F95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a563-b686-403a-8c83-ff5f323c5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F1E73-BEB4-463B-8755-9AE67597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NORRIE, Chris (cnorr11)</cp:lastModifiedBy>
  <cp:revision>4</cp:revision>
  <dcterms:created xsi:type="dcterms:W3CDTF">2023-10-02T23:18:00Z</dcterms:created>
  <dcterms:modified xsi:type="dcterms:W3CDTF">2023-10-02T23:28:00Z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0x0101005139D84B9A3F954E8EF84F47DE9A85B0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